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09" w:rsidRDefault="00C068DB" w:rsidP="001F3709">
      <w:pPr>
        <w:pStyle w:val="Einfacher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exact"/>
        <w:rPr>
          <w:rFonts w:ascii="Verdana" w:hAnsi="Verdana"/>
          <w:b/>
          <w:spacing w:val="1"/>
          <w:sz w:val="20"/>
          <w:lang w:val="en-GB"/>
        </w:rPr>
      </w:pPr>
      <w:r w:rsidRPr="00C068DB">
        <w:rPr>
          <w:rFonts w:ascii="Verdana" w:hAnsi="Verdana"/>
          <w:b/>
          <w:spacing w:val="1"/>
          <w:sz w:val="20"/>
          <w:lang w:val="en-GB"/>
        </w:rPr>
        <w:t>Social Housing in Cologne</w:t>
      </w:r>
    </w:p>
    <w:p w:rsidR="00C068DB" w:rsidRPr="00B01AA1" w:rsidRDefault="00C068DB" w:rsidP="001F3709">
      <w:pPr>
        <w:pStyle w:val="Einfacher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0" w:lineRule="exact"/>
        <w:rPr>
          <w:rFonts w:ascii="Verdana" w:hAnsi="Verdana"/>
          <w:b/>
          <w:spacing w:val="1"/>
          <w:sz w:val="20"/>
          <w:lang w:val="en-GB"/>
        </w:rPr>
      </w:pPr>
    </w:p>
    <w:p w:rsidR="00B45FD6" w:rsidRDefault="00B45FD6" w:rsidP="001F3709">
      <w:pP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</w:pPr>
    </w:p>
    <w:p w:rsidR="00B45FD6" w:rsidRDefault="00B45FD6" w:rsidP="001F3709">
      <w:pP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</w:pPr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The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attempt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substitute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parts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an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estate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from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1950s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new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construction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modern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adaptation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classical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linear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blocks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has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met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great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success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The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density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estate</w:t>
      </w:r>
      <w:proofErr w:type="spellEnd"/>
      <w: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was</w:t>
      </w:r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increased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significantly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addition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open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greater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spatial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interest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were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created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through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layout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="004C67F7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bent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buildings</w:t>
      </w:r>
      <w:proofErr w:type="spellEnd"/>
      <w:r w:rsidR="00180108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</w:p>
    <w:p w:rsidR="00180108" w:rsidRDefault="00180108" w:rsidP="001F3709">
      <w:pPr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</w:pPr>
    </w:p>
    <w:p w:rsidR="001F3709" w:rsidRPr="00B01AA1" w:rsidRDefault="00C068DB" w:rsidP="001F3709">
      <w:pPr>
        <w:rPr>
          <w:rFonts w:ascii="Verdana" w:hAnsi="Verdana"/>
          <w:spacing w:val="1"/>
          <w:sz w:val="20"/>
          <w:szCs w:val="20"/>
          <w:lang w:val="en-US"/>
        </w:rPr>
      </w:pP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Every German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city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: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dusty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old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dating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from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nineteen-fifties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were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erected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ribbons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which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already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were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not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able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offer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much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more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cheap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rambling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yet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unstructured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open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without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much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ado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Ribbon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development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had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propagated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protagonists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modernity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may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have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had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economic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benefits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but in urban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development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terms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weaknesses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became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apparent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rather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quickly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: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neither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creates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legible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streets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green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does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allow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recognizable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addresses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  <w:t xml:space="preserve">The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Buchheimer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Weg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urban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district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Ostheim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Cologne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good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example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Today,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two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generations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after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construction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many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other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old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technically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renovated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presents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good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opportunity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rethink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their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concepts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make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suitable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contemporary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times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contexts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doing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so,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goal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retain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existing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cost-effective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structures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low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-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income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groups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while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creating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new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qualities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terms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urban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planning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open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architecture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interior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design. The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client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GAG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Cologne,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large non-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profit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society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stock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more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40,000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apartments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  <w:t xml:space="preserve">The design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new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proves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benefits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provided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ribbon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development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such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good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lighting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ventilation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orientation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can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retained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while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simultaneously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creating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new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high-value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urban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The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debate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future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heritage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nineteen-fifties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sixties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suddenly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become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very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current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today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The design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Buchheimer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Weg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significant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aspires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serve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model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other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kind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both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Cologne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elsewhere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may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not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surprising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offers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much-improved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spatial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qualities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well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graded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open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turned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out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demolishing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anew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site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was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economically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aesthetically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more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sensible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elaborately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refurbishing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existing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Thinking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on a large urban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development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scale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helped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ASTOC find 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adequate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solution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: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designers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introduced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middle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rows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so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two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rows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run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towards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each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other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while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two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others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run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away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from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each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other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seemingly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simple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intervention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leads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enormous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improvements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: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between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rows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loosely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enclosed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without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creating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problems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associated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perimeter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blocks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As such,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lush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courtyards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semi-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public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ones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alternate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each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other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allowing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residents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visitors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appropriate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themselves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also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became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possible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significantly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raise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density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without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adversely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affecting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spatial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qualities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In total, 434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apartments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consisting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18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constructed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three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phases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were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lastRenderedPageBreak/>
        <w:t>Instead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gabled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roofs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inclined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roofs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were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chosen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: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traditional,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centrally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placed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roof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ridge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was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diagonally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spanned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over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respective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exterior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corners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creates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characteristic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falling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rising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eaves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The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new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thinking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resulted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fresh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aesthetic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approach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leading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application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mineral-based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plaster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facades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five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different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light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green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tones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The tonal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gradations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spread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over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entire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urban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quarter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changing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from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lighter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green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tone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northeast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darker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green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southwest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two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colors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every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which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change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building’s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corners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bending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lines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The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next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line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takes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up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color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value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neighboring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changes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next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darker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hue,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underlining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plasticity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structures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While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low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subsidized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levels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were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able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retained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able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offer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dedicated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underground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parking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facilities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Two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were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equipped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elevators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while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all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other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have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provided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with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option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retrofitting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elevators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Following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standard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two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apartments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accessed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one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staircase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(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defined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pair),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while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ends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buildings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one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staircase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mostly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serves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groups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three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apartments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The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sizes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publicly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funded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apartments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range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from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one-room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to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four-room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types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  <w:t xml:space="preserve">The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residential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quarter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was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supplemented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lively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infrastructural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facilities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such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tenants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’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café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office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close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three-stream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daycare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center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Domestic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life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enriched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hall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residence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disabled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people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living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group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people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suffering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from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dementia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</w:r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br/>
        <w:t xml:space="preserve">The design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housing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complex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Buchheimer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Weg in Cologne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represents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critical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forward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projection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concepts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nineteen-fifties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proves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living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conditions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in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socially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problematic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urban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district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can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improved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urban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developments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of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post-war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period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complemented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new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qualities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that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employ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simple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methods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. The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delicately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graded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open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in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particular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,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take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on a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crucial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role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important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links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between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the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private, semi-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public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and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public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 xml:space="preserve"> </w:t>
      </w:r>
      <w:proofErr w:type="spellStart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spaces</w:t>
      </w:r>
      <w:proofErr w:type="spellEnd"/>
      <w:r w:rsidRPr="00C068DB">
        <w:rPr>
          <w:rFonts w:ascii="Verdana" w:eastAsia="Times New Roman" w:hAnsi="Verdana" w:cs="Times New Roman"/>
          <w:snapToGrid w:val="0"/>
          <w:color w:val="000000"/>
          <w:spacing w:val="1"/>
          <w:sz w:val="20"/>
          <w:szCs w:val="20"/>
          <w:lang w:eastAsia="en-GB"/>
        </w:rPr>
        <w:t>.</w:t>
      </w:r>
      <w:r w:rsidR="001F3709" w:rsidRPr="00B01AA1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</w:p>
    <w:p w:rsidR="00B01AA1" w:rsidRPr="00B01AA1" w:rsidRDefault="00B01AA1">
      <w:pPr>
        <w:rPr>
          <w:rFonts w:ascii="Verdana" w:hAnsi="Verdana"/>
          <w:spacing w:val="1"/>
          <w:sz w:val="20"/>
          <w:szCs w:val="20"/>
          <w:lang w:val="en-US"/>
        </w:rPr>
      </w:pPr>
    </w:p>
    <w:p w:rsidR="00B01AA1" w:rsidRDefault="00B01AA1">
      <w:pPr>
        <w:rPr>
          <w:rFonts w:ascii="Verdana" w:hAnsi="Verdana"/>
          <w:spacing w:val="1"/>
          <w:sz w:val="20"/>
          <w:szCs w:val="20"/>
          <w:lang w:val="en-US"/>
        </w:rPr>
      </w:pPr>
      <w:r w:rsidRPr="00B01AA1">
        <w:rPr>
          <w:rFonts w:ascii="Verdana" w:hAnsi="Verdana"/>
          <w:b/>
          <w:spacing w:val="1"/>
          <w:sz w:val="20"/>
          <w:szCs w:val="20"/>
          <w:lang w:val="en-US"/>
        </w:rPr>
        <w:t>Client</w:t>
      </w:r>
      <w:r w:rsidRPr="00B01AA1">
        <w:rPr>
          <w:rFonts w:ascii="Verdana" w:hAnsi="Verdana"/>
          <w:spacing w:val="1"/>
          <w:sz w:val="20"/>
          <w:szCs w:val="20"/>
          <w:lang w:val="en-US"/>
        </w:rPr>
        <w:br/>
      </w:r>
      <w:r w:rsidR="00C068DB" w:rsidRPr="00C068DB">
        <w:rPr>
          <w:rFonts w:ascii="Verdana" w:hAnsi="Verdana"/>
          <w:spacing w:val="1"/>
          <w:sz w:val="20"/>
          <w:szCs w:val="20"/>
        </w:rPr>
        <w:t>GAG Immobilien AG, Cologne</w:t>
      </w:r>
      <w:r w:rsidRPr="00B01AA1">
        <w:rPr>
          <w:rFonts w:ascii="Verdana" w:hAnsi="Verdana"/>
          <w:spacing w:val="1"/>
          <w:sz w:val="20"/>
          <w:szCs w:val="20"/>
          <w:lang w:val="en-US"/>
        </w:rPr>
        <w:br/>
      </w:r>
      <w:r w:rsidRPr="00B01AA1">
        <w:rPr>
          <w:rFonts w:ascii="Verdana" w:hAnsi="Verdana"/>
          <w:spacing w:val="1"/>
          <w:sz w:val="20"/>
          <w:szCs w:val="20"/>
          <w:lang w:val="en-US"/>
        </w:rPr>
        <w:br/>
      </w:r>
      <w:r w:rsidRPr="00B01AA1">
        <w:rPr>
          <w:rFonts w:ascii="Verdana" w:hAnsi="Verdana"/>
          <w:b/>
          <w:spacing w:val="1"/>
          <w:sz w:val="20"/>
          <w:szCs w:val="20"/>
          <w:lang w:val="en-US"/>
        </w:rPr>
        <w:t xml:space="preserve">Planning and </w:t>
      </w:r>
      <w:proofErr w:type="spellStart"/>
      <w:r w:rsidRPr="00B01AA1">
        <w:rPr>
          <w:rFonts w:ascii="Verdana" w:hAnsi="Verdana"/>
          <w:b/>
          <w:spacing w:val="1"/>
          <w:sz w:val="20"/>
          <w:szCs w:val="20"/>
          <w:lang w:val="en-US"/>
        </w:rPr>
        <w:t>Realisation</w:t>
      </w:r>
      <w:proofErr w:type="spellEnd"/>
      <w:r w:rsidRPr="00B01AA1">
        <w:rPr>
          <w:rFonts w:ascii="Verdana" w:hAnsi="Verdana"/>
          <w:spacing w:val="1"/>
          <w:sz w:val="20"/>
          <w:szCs w:val="20"/>
          <w:lang w:val="en-US"/>
        </w:rPr>
        <w:br/>
      </w:r>
      <w:r w:rsidR="00C068DB" w:rsidRPr="00C068DB">
        <w:rPr>
          <w:rFonts w:ascii="Verdana" w:hAnsi="Verdana"/>
          <w:spacing w:val="1"/>
          <w:sz w:val="20"/>
          <w:szCs w:val="20"/>
          <w:lang w:val="en-US"/>
        </w:rPr>
        <w:t>Competition 2005, First Prize</w:t>
      </w:r>
      <w:r w:rsidR="00C068DB" w:rsidRPr="00C068DB">
        <w:rPr>
          <w:rFonts w:ascii="Verdana" w:hAnsi="Verdana"/>
          <w:spacing w:val="1"/>
          <w:sz w:val="20"/>
          <w:szCs w:val="20"/>
          <w:lang w:val="en-US"/>
        </w:rPr>
        <w:br/>
        <w:t>Planning 2005-2010</w:t>
      </w:r>
      <w:r w:rsidR="00C068DB" w:rsidRPr="00C068DB">
        <w:rPr>
          <w:rFonts w:ascii="Verdana" w:hAnsi="Verdana"/>
          <w:spacing w:val="1"/>
          <w:sz w:val="20"/>
          <w:szCs w:val="20"/>
          <w:lang w:val="en-US"/>
        </w:rPr>
        <w:br/>
        <w:t>Realization</w:t>
      </w:r>
      <w:r w:rsidR="00C068DB" w:rsidRPr="00C068DB">
        <w:rPr>
          <w:rFonts w:ascii="Verdana" w:hAnsi="Verdana"/>
          <w:spacing w:val="1"/>
          <w:sz w:val="20"/>
          <w:szCs w:val="20"/>
          <w:lang w:val="en-US"/>
        </w:rPr>
        <w:br/>
        <w:t xml:space="preserve">First construction stage: </w:t>
      </w:r>
      <w:r w:rsidR="00C068DB">
        <w:rPr>
          <w:rFonts w:ascii="Verdana" w:hAnsi="Verdana"/>
          <w:spacing w:val="1"/>
          <w:sz w:val="20"/>
          <w:szCs w:val="20"/>
          <w:lang w:val="en-US"/>
        </w:rPr>
        <w:tab/>
      </w:r>
      <w:r w:rsidR="00C068DB" w:rsidRPr="00C068DB">
        <w:rPr>
          <w:rFonts w:ascii="Verdana" w:hAnsi="Verdana"/>
          <w:spacing w:val="1"/>
          <w:sz w:val="20"/>
          <w:szCs w:val="20"/>
          <w:lang w:val="en-US"/>
        </w:rPr>
        <w:t>2007-</w:t>
      </w:r>
      <w:r w:rsidR="00C068DB">
        <w:rPr>
          <w:rFonts w:ascii="Verdana" w:hAnsi="Verdana"/>
          <w:spacing w:val="1"/>
          <w:sz w:val="20"/>
          <w:szCs w:val="20"/>
          <w:lang w:val="en-US"/>
        </w:rPr>
        <w:t>2009</w:t>
      </w:r>
      <w:r w:rsidR="00C068DB">
        <w:rPr>
          <w:rFonts w:ascii="Verdana" w:hAnsi="Verdana"/>
          <w:spacing w:val="1"/>
          <w:sz w:val="20"/>
          <w:szCs w:val="20"/>
          <w:lang w:val="en-US"/>
        </w:rPr>
        <w:br/>
        <w:t>Second construction stage:</w:t>
      </w:r>
      <w:r w:rsidR="00C068DB">
        <w:rPr>
          <w:rFonts w:ascii="Verdana" w:hAnsi="Verdana"/>
          <w:spacing w:val="1"/>
          <w:sz w:val="20"/>
          <w:szCs w:val="20"/>
          <w:lang w:val="en-US"/>
        </w:rPr>
        <w:tab/>
      </w:r>
      <w:r w:rsidR="00C068DB" w:rsidRPr="00C068DB">
        <w:rPr>
          <w:rFonts w:ascii="Verdana" w:hAnsi="Verdana"/>
          <w:spacing w:val="1"/>
          <w:sz w:val="20"/>
          <w:szCs w:val="20"/>
          <w:lang w:val="en-US"/>
        </w:rPr>
        <w:t>2008-2011</w:t>
      </w:r>
      <w:r w:rsidR="00C068DB" w:rsidRPr="00C068DB">
        <w:rPr>
          <w:rFonts w:ascii="Verdana" w:hAnsi="Verdana"/>
          <w:spacing w:val="1"/>
          <w:sz w:val="20"/>
          <w:szCs w:val="20"/>
          <w:lang w:val="en-US"/>
        </w:rPr>
        <w:br/>
        <w:t xml:space="preserve">Third construction stage: </w:t>
      </w:r>
      <w:r w:rsidR="00C068DB">
        <w:rPr>
          <w:rFonts w:ascii="Verdana" w:hAnsi="Verdana"/>
          <w:spacing w:val="1"/>
          <w:sz w:val="20"/>
          <w:szCs w:val="20"/>
          <w:lang w:val="en-US"/>
        </w:rPr>
        <w:tab/>
      </w:r>
      <w:r w:rsidR="00C068DB" w:rsidRPr="00C068DB">
        <w:rPr>
          <w:rFonts w:ascii="Verdana" w:hAnsi="Verdana"/>
          <w:spacing w:val="1"/>
          <w:sz w:val="20"/>
          <w:szCs w:val="20"/>
          <w:lang w:val="en-US"/>
        </w:rPr>
        <w:t>2009-2012</w:t>
      </w:r>
      <w:r w:rsidRPr="00B01AA1">
        <w:rPr>
          <w:rFonts w:ascii="Verdana" w:hAnsi="Verdana"/>
          <w:spacing w:val="1"/>
          <w:sz w:val="20"/>
          <w:szCs w:val="20"/>
          <w:lang w:val="en-US"/>
        </w:rPr>
        <w:br/>
      </w:r>
      <w:r w:rsidRPr="00B01AA1">
        <w:rPr>
          <w:rFonts w:ascii="Verdana" w:hAnsi="Verdana"/>
          <w:spacing w:val="1"/>
          <w:sz w:val="20"/>
          <w:szCs w:val="20"/>
          <w:lang w:val="en-US"/>
        </w:rPr>
        <w:br/>
      </w:r>
      <w:r w:rsidRPr="00B01AA1">
        <w:rPr>
          <w:rFonts w:ascii="Verdana" w:hAnsi="Verdana"/>
          <w:b/>
          <w:spacing w:val="1"/>
          <w:sz w:val="20"/>
          <w:szCs w:val="20"/>
          <w:lang w:val="en-US"/>
        </w:rPr>
        <w:t>Dimensions</w:t>
      </w:r>
      <w:r w:rsidRPr="00B01AA1">
        <w:rPr>
          <w:rFonts w:ascii="Verdana" w:hAnsi="Verdana"/>
          <w:spacing w:val="1"/>
          <w:sz w:val="20"/>
          <w:szCs w:val="20"/>
          <w:lang w:val="en-US"/>
        </w:rPr>
        <w:br/>
      </w:r>
      <w:r w:rsidR="002A3AB6" w:rsidRPr="002A3AB6">
        <w:rPr>
          <w:rFonts w:ascii="Verdana" w:hAnsi="Verdana"/>
          <w:spacing w:val="1"/>
          <w:sz w:val="20"/>
          <w:szCs w:val="20"/>
          <w:lang w:val="en-US"/>
        </w:rPr>
        <w:t>5 hectare</w:t>
      </w:r>
      <w:r w:rsidR="002A3AB6">
        <w:rPr>
          <w:rFonts w:ascii="Verdana" w:hAnsi="Verdana"/>
          <w:spacing w:val="1"/>
          <w:sz w:val="20"/>
          <w:szCs w:val="20"/>
          <w:lang w:val="en-US"/>
        </w:rPr>
        <w:t>s</w:t>
      </w:r>
      <w:r w:rsidR="002A3AB6" w:rsidRPr="002A3AB6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r w:rsidR="002A3AB6">
        <w:rPr>
          <w:rFonts w:ascii="Verdana" w:hAnsi="Verdana"/>
          <w:spacing w:val="1"/>
          <w:sz w:val="20"/>
          <w:szCs w:val="20"/>
          <w:lang w:val="en-US"/>
        </w:rPr>
        <w:t xml:space="preserve">/ </w:t>
      </w:r>
      <w:r w:rsidR="00BC7185" w:rsidRPr="00BC7185">
        <w:rPr>
          <w:rFonts w:ascii="Verdana" w:hAnsi="Verdana"/>
          <w:spacing w:val="1"/>
          <w:sz w:val="20"/>
          <w:szCs w:val="20"/>
          <w:lang w:val="en-US"/>
        </w:rPr>
        <w:t xml:space="preserve">GFA: 51.600 </w:t>
      </w:r>
      <w:proofErr w:type="spellStart"/>
      <w:r w:rsidR="00BC7185" w:rsidRPr="00BC7185">
        <w:rPr>
          <w:rFonts w:ascii="Verdana" w:hAnsi="Verdana"/>
          <w:spacing w:val="1"/>
          <w:sz w:val="20"/>
          <w:szCs w:val="20"/>
          <w:lang w:val="en-US"/>
        </w:rPr>
        <w:t>sqm</w:t>
      </w:r>
      <w:proofErr w:type="spellEnd"/>
    </w:p>
    <w:p w:rsidR="009E2CD3" w:rsidRDefault="009E2CD3">
      <w:pPr>
        <w:rPr>
          <w:rFonts w:ascii="Verdana" w:hAnsi="Verdana"/>
          <w:spacing w:val="1"/>
          <w:sz w:val="20"/>
          <w:szCs w:val="20"/>
          <w:lang w:val="en-US"/>
        </w:rPr>
      </w:pPr>
    </w:p>
    <w:p w:rsidR="00880039" w:rsidRPr="00880039" w:rsidRDefault="009E4C4A">
      <w:pPr>
        <w:rPr>
          <w:rFonts w:ascii="Verdana" w:hAnsi="Verdana"/>
          <w:b/>
          <w:spacing w:val="1"/>
          <w:sz w:val="20"/>
          <w:szCs w:val="20"/>
          <w:lang w:val="en-US"/>
        </w:rPr>
      </w:pPr>
      <w:r>
        <w:rPr>
          <w:rFonts w:ascii="Verdana" w:hAnsi="Verdana"/>
          <w:b/>
          <w:spacing w:val="1"/>
          <w:sz w:val="20"/>
          <w:szCs w:val="20"/>
          <w:lang w:val="en-US"/>
        </w:rPr>
        <w:t>S</w:t>
      </w:r>
      <w:r w:rsidR="00880039" w:rsidRPr="00880039">
        <w:rPr>
          <w:rFonts w:ascii="Verdana" w:hAnsi="Verdana"/>
          <w:b/>
          <w:spacing w:val="1"/>
          <w:sz w:val="20"/>
          <w:szCs w:val="20"/>
          <w:lang w:val="en-US"/>
        </w:rPr>
        <w:t>patial planners</w:t>
      </w:r>
    </w:p>
    <w:p w:rsidR="00880039" w:rsidRDefault="00880039" w:rsidP="00880039">
      <w:pPr>
        <w:rPr>
          <w:rFonts w:ascii="Verdana" w:hAnsi="Verdana"/>
          <w:spacing w:val="1"/>
          <w:sz w:val="20"/>
          <w:szCs w:val="20"/>
          <w:lang w:val="en-US"/>
        </w:rPr>
      </w:pPr>
      <w:r>
        <w:rPr>
          <w:rFonts w:ascii="Verdana" w:hAnsi="Verdana"/>
          <w:spacing w:val="1"/>
          <w:sz w:val="20"/>
          <w:szCs w:val="20"/>
          <w:lang w:val="en-US"/>
        </w:rPr>
        <w:t xml:space="preserve">ASTOC Architects and Planners, Cologne </w:t>
      </w:r>
    </w:p>
    <w:p w:rsidR="009E2CD3" w:rsidRDefault="009E2CD3" w:rsidP="00880039">
      <w:pPr>
        <w:rPr>
          <w:rFonts w:ascii="Verdana" w:hAnsi="Verdana"/>
          <w:b/>
          <w:spacing w:val="1"/>
          <w:sz w:val="20"/>
          <w:szCs w:val="20"/>
          <w:lang w:val="en-US"/>
        </w:rPr>
      </w:pPr>
    </w:p>
    <w:p w:rsidR="00BC7185" w:rsidRPr="00BC7185" w:rsidRDefault="00BC7185" w:rsidP="00880039">
      <w:pPr>
        <w:rPr>
          <w:rFonts w:ascii="Verdana" w:hAnsi="Verdana"/>
          <w:b/>
          <w:spacing w:val="1"/>
          <w:sz w:val="20"/>
          <w:szCs w:val="20"/>
          <w:lang w:val="en-US"/>
        </w:rPr>
      </w:pPr>
      <w:r w:rsidRPr="00BC7185">
        <w:rPr>
          <w:rFonts w:ascii="Verdana" w:hAnsi="Verdana"/>
          <w:b/>
          <w:spacing w:val="1"/>
          <w:sz w:val="20"/>
          <w:szCs w:val="20"/>
          <w:lang w:val="en-US"/>
        </w:rPr>
        <w:t>Landscape Architect</w:t>
      </w:r>
    </w:p>
    <w:p w:rsidR="00880039" w:rsidRPr="00BC7185" w:rsidRDefault="00BC7185" w:rsidP="00880039">
      <w:pPr>
        <w:rPr>
          <w:rFonts w:ascii="Verdana" w:hAnsi="Verdana"/>
          <w:spacing w:val="1"/>
          <w:sz w:val="20"/>
          <w:szCs w:val="20"/>
          <w:lang w:val="en-US"/>
        </w:rPr>
      </w:pPr>
      <w:proofErr w:type="gramStart"/>
      <w:r w:rsidRPr="00BC7185">
        <w:rPr>
          <w:rFonts w:ascii="Verdana" w:hAnsi="Verdana"/>
          <w:spacing w:val="1"/>
          <w:sz w:val="20"/>
          <w:szCs w:val="20"/>
          <w:lang w:val="en-US"/>
        </w:rPr>
        <w:t>urbane</w:t>
      </w:r>
      <w:proofErr w:type="gramEnd"/>
      <w:r w:rsidRPr="00BC7185">
        <w:rPr>
          <w:rFonts w:ascii="Verdana" w:hAnsi="Verdana"/>
          <w:spacing w:val="1"/>
          <w:sz w:val="20"/>
          <w:szCs w:val="20"/>
          <w:lang w:val="en-US"/>
        </w:rPr>
        <w:t xml:space="preserve"> gestalt </w:t>
      </w:r>
      <w:proofErr w:type="spellStart"/>
      <w:r w:rsidRPr="00BC7185">
        <w:rPr>
          <w:rFonts w:ascii="Verdana" w:hAnsi="Verdana"/>
          <w:spacing w:val="1"/>
          <w:sz w:val="20"/>
          <w:szCs w:val="20"/>
          <w:lang w:val="en-US"/>
        </w:rPr>
        <w:t>johannes</w:t>
      </w:r>
      <w:proofErr w:type="spellEnd"/>
      <w:r w:rsidRPr="00BC7185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proofErr w:type="spellStart"/>
      <w:r w:rsidRPr="00BC7185">
        <w:rPr>
          <w:rFonts w:ascii="Verdana" w:hAnsi="Verdana"/>
          <w:spacing w:val="1"/>
          <w:sz w:val="20"/>
          <w:szCs w:val="20"/>
          <w:lang w:val="en-US"/>
        </w:rPr>
        <w:t>böttger</w:t>
      </w:r>
      <w:proofErr w:type="spellEnd"/>
      <w:r w:rsidRPr="00BC7185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proofErr w:type="spellStart"/>
      <w:r w:rsidRPr="00BC7185">
        <w:rPr>
          <w:rFonts w:ascii="Verdana" w:hAnsi="Verdana"/>
          <w:spacing w:val="1"/>
          <w:sz w:val="20"/>
          <w:szCs w:val="20"/>
          <w:lang w:val="en-US"/>
        </w:rPr>
        <w:t>landschaftsarchitekten</w:t>
      </w:r>
      <w:proofErr w:type="spellEnd"/>
      <w:r w:rsidRPr="00BC7185">
        <w:rPr>
          <w:rFonts w:ascii="Verdana" w:hAnsi="Verdana"/>
          <w:spacing w:val="1"/>
          <w:sz w:val="20"/>
          <w:szCs w:val="20"/>
          <w:lang w:val="en-US"/>
        </w:rPr>
        <w:t>, Cologne</w:t>
      </w:r>
    </w:p>
    <w:p w:rsidR="009E2CD3" w:rsidRDefault="009E2CD3" w:rsidP="00880039">
      <w:pPr>
        <w:rPr>
          <w:rFonts w:ascii="Verdana" w:hAnsi="Verdana"/>
          <w:b/>
          <w:spacing w:val="1"/>
          <w:sz w:val="20"/>
          <w:szCs w:val="20"/>
          <w:lang w:val="en-US"/>
        </w:rPr>
      </w:pPr>
    </w:p>
    <w:p w:rsidR="00880039" w:rsidRDefault="00880039" w:rsidP="00880039">
      <w:pPr>
        <w:rPr>
          <w:rFonts w:ascii="Verdana" w:hAnsi="Verdana"/>
          <w:b/>
          <w:spacing w:val="1"/>
          <w:sz w:val="20"/>
          <w:szCs w:val="20"/>
          <w:lang w:val="en-US"/>
        </w:rPr>
      </w:pPr>
      <w:r w:rsidRPr="00880039">
        <w:rPr>
          <w:rFonts w:ascii="Verdana" w:hAnsi="Verdana"/>
          <w:b/>
          <w:spacing w:val="1"/>
          <w:sz w:val="20"/>
          <w:szCs w:val="20"/>
          <w:lang w:val="en-US"/>
        </w:rPr>
        <w:t>Awards</w:t>
      </w:r>
    </w:p>
    <w:p w:rsidR="00BC7185" w:rsidRPr="00BC7185" w:rsidRDefault="00BC7185" w:rsidP="00BC7185">
      <w:pPr>
        <w:rPr>
          <w:rFonts w:ascii="Verdana" w:hAnsi="Verdana"/>
          <w:spacing w:val="1"/>
          <w:sz w:val="20"/>
          <w:szCs w:val="20"/>
          <w:lang w:val="en-US"/>
        </w:rPr>
      </w:pPr>
      <w:r w:rsidRPr="00BC7185">
        <w:rPr>
          <w:rFonts w:ascii="Verdana" w:hAnsi="Verdana"/>
          <w:spacing w:val="1"/>
          <w:sz w:val="20"/>
          <w:szCs w:val="20"/>
          <w:lang w:val="en-US"/>
        </w:rPr>
        <w:t>Urba</w:t>
      </w:r>
      <w:r>
        <w:rPr>
          <w:rFonts w:ascii="Verdana" w:hAnsi="Verdana"/>
          <w:spacing w:val="1"/>
          <w:sz w:val="20"/>
          <w:szCs w:val="20"/>
          <w:lang w:val="en-US"/>
        </w:rPr>
        <w:t>n Living Award 2013, Nomination</w:t>
      </w:r>
    </w:p>
    <w:p w:rsidR="00BC7185" w:rsidRPr="00BC7185" w:rsidRDefault="00BC7185" w:rsidP="00BC7185">
      <w:pPr>
        <w:rPr>
          <w:rFonts w:ascii="Verdana" w:hAnsi="Verdana"/>
          <w:spacing w:val="1"/>
          <w:sz w:val="20"/>
          <w:szCs w:val="20"/>
          <w:lang w:val="en-US"/>
        </w:rPr>
      </w:pPr>
      <w:proofErr w:type="spellStart"/>
      <w:r w:rsidRPr="00BC7185">
        <w:rPr>
          <w:rFonts w:ascii="Verdana" w:hAnsi="Verdana"/>
          <w:spacing w:val="1"/>
          <w:sz w:val="20"/>
          <w:szCs w:val="20"/>
          <w:lang w:val="en-US"/>
        </w:rPr>
        <w:t>Deutscher</w:t>
      </w:r>
      <w:proofErr w:type="spellEnd"/>
      <w:r w:rsidRPr="00BC7185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proofErr w:type="spellStart"/>
      <w:r w:rsidRPr="00BC7185">
        <w:rPr>
          <w:rFonts w:ascii="Verdana" w:hAnsi="Verdana"/>
          <w:spacing w:val="1"/>
          <w:sz w:val="20"/>
          <w:szCs w:val="20"/>
          <w:lang w:val="en-US"/>
        </w:rPr>
        <w:t>Städtebaupreis</w:t>
      </w:r>
      <w:proofErr w:type="spellEnd"/>
      <w:r w:rsidRPr="00BC7185">
        <w:rPr>
          <w:rFonts w:ascii="Verdana" w:hAnsi="Verdana"/>
          <w:spacing w:val="1"/>
          <w:sz w:val="20"/>
          <w:szCs w:val="20"/>
          <w:lang w:val="en-US"/>
        </w:rPr>
        <w:t xml:space="preserve"> 2012, Award</w:t>
      </w:r>
    </w:p>
    <w:p w:rsidR="00BC7185" w:rsidRPr="00BC7185" w:rsidRDefault="00BC7185" w:rsidP="00BC7185">
      <w:pPr>
        <w:rPr>
          <w:rFonts w:ascii="Verdana" w:hAnsi="Verdana"/>
          <w:spacing w:val="1"/>
          <w:sz w:val="20"/>
          <w:szCs w:val="20"/>
          <w:lang w:val="en-US"/>
        </w:rPr>
      </w:pPr>
      <w:r w:rsidRPr="00BC7185">
        <w:rPr>
          <w:rFonts w:ascii="Verdana" w:hAnsi="Verdana"/>
          <w:spacing w:val="1"/>
          <w:sz w:val="20"/>
          <w:szCs w:val="20"/>
          <w:lang w:val="en-US"/>
        </w:rPr>
        <w:t>Modern Atlanta Prize for Green Dwelling 2012,</w:t>
      </w:r>
      <w:r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r w:rsidRPr="00BC7185">
        <w:rPr>
          <w:rFonts w:ascii="Verdana" w:hAnsi="Verdana"/>
          <w:spacing w:val="1"/>
          <w:sz w:val="20"/>
          <w:szCs w:val="20"/>
          <w:lang w:val="en-US"/>
        </w:rPr>
        <w:t>Honorable Mention</w:t>
      </w:r>
    </w:p>
    <w:p w:rsidR="00BC7185" w:rsidRPr="00BC7185" w:rsidRDefault="00BC7185" w:rsidP="00BC7185">
      <w:pPr>
        <w:rPr>
          <w:rFonts w:ascii="Verdana" w:hAnsi="Verdana"/>
          <w:spacing w:val="1"/>
          <w:sz w:val="20"/>
          <w:szCs w:val="20"/>
          <w:lang w:val="en-US"/>
        </w:rPr>
      </w:pPr>
      <w:proofErr w:type="spellStart"/>
      <w:r w:rsidRPr="00BC7185">
        <w:rPr>
          <w:rFonts w:ascii="Verdana" w:hAnsi="Verdana"/>
          <w:spacing w:val="1"/>
          <w:sz w:val="20"/>
          <w:szCs w:val="20"/>
          <w:lang w:val="en-US"/>
        </w:rPr>
        <w:t>Deutscher</w:t>
      </w:r>
      <w:proofErr w:type="spellEnd"/>
      <w:r w:rsidRPr="00BC7185"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proofErr w:type="spellStart"/>
      <w:r w:rsidRPr="00BC7185">
        <w:rPr>
          <w:rFonts w:ascii="Verdana" w:hAnsi="Verdana"/>
          <w:spacing w:val="1"/>
          <w:sz w:val="20"/>
          <w:szCs w:val="20"/>
          <w:lang w:val="en-US"/>
        </w:rPr>
        <w:t>Bauherrenpreis</w:t>
      </w:r>
      <w:proofErr w:type="spellEnd"/>
      <w:r w:rsidRPr="00BC7185">
        <w:rPr>
          <w:rFonts w:ascii="Verdana" w:hAnsi="Verdana"/>
          <w:spacing w:val="1"/>
          <w:sz w:val="20"/>
          <w:szCs w:val="20"/>
          <w:lang w:val="en-US"/>
        </w:rPr>
        <w:t xml:space="preserve"> 2011/2012,</w:t>
      </w:r>
      <w:r>
        <w:rPr>
          <w:rFonts w:ascii="Verdana" w:hAnsi="Verdana"/>
          <w:spacing w:val="1"/>
          <w:sz w:val="20"/>
          <w:szCs w:val="20"/>
          <w:lang w:val="en-US"/>
        </w:rPr>
        <w:t xml:space="preserve"> </w:t>
      </w:r>
      <w:r w:rsidRPr="00BC7185">
        <w:rPr>
          <w:rFonts w:ascii="Verdana" w:hAnsi="Verdana"/>
          <w:spacing w:val="1"/>
          <w:sz w:val="20"/>
          <w:szCs w:val="20"/>
          <w:lang w:val="en-US"/>
        </w:rPr>
        <w:t>Award and Special Award for Landscape Design</w:t>
      </w:r>
    </w:p>
    <w:sectPr w:rsidR="00BC7185" w:rsidRPr="00BC7185" w:rsidSect="00577C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1F3709"/>
    <w:rsid w:val="001269A9"/>
    <w:rsid w:val="00180108"/>
    <w:rsid w:val="001C3D48"/>
    <w:rsid w:val="001F3709"/>
    <w:rsid w:val="002333A3"/>
    <w:rsid w:val="002A3AB6"/>
    <w:rsid w:val="00350C58"/>
    <w:rsid w:val="004C67F7"/>
    <w:rsid w:val="00531A4A"/>
    <w:rsid w:val="00543F77"/>
    <w:rsid w:val="00577C2A"/>
    <w:rsid w:val="00880039"/>
    <w:rsid w:val="009E2CD3"/>
    <w:rsid w:val="009E4C4A"/>
    <w:rsid w:val="00B01AA1"/>
    <w:rsid w:val="00B45FD6"/>
    <w:rsid w:val="00BC7185"/>
    <w:rsid w:val="00C068DB"/>
    <w:rsid w:val="00E17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370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rsid w:val="001F3709"/>
    <w:pPr>
      <w:widowControl w:val="0"/>
      <w:spacing w:after="0" w:line="288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n-GB"/>
    </w:rPr>
  </w:style>
  <w:style w:type="character" w:customStyle="1" w:styleId="hps">
    <w:name w:val="hps"/>
    <w:basedOn w:val="Absatz-Standardschriftart"/>
    <w:rsid w:val="00BC71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Kersting</dc:creator>
  <cp:lastModifiedBy>Markus Kersting</cp:lastModifiedBy>
  <cp:revision>13</cp:revision>
  <dcterms:created xsi:type="dcterms:W3CDTF">2014-01-03T15:17:00Z</dcterms:created>
  <dcterms:modified xsi:type="dcterms:W3CDTF">2014-01-08T11:54:00Z</dcterms:modified>
</cp:coreProperties>
</file>